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F32" w:rsidRDefault="00AE2129">
      <w:pPr>
        <w:pStyle w:val="Normal1"/>
        <w:jc w:val="both"/>
        <w:rPr>
          <w:sz w:val="26"/>
          <w:szCs w:val="26"/>
        </w:rPr>
      </w:pPr>
      <w:r>
        <w:rPr>
          <w:sz w:val="26"/>
          <w:szCs w:val="26"/>
        </w:rPr>
        <w:t>Aos vinte e sete d</w:t>
      </w:r>
      <w:r>
        <w:rPr>
          <w:sz w:val="26"/>
          <w:szCs w:val="26"/>
        </w:rPr>
        <w:t xml:space="preserve">e fevereiro de dois mil e dezenove, no auditório Leitão da Cunha, localizado na Rua Botucatu, 720, Vila Clementino, realizou-se a </w:t>
      </w:r>
      <w:r>
        <w:rPr>
          <w:sz w:val="26"/>
          <w:szCs w:val="26"/>
        </w:rPr>
        <w:t>segunda</w:t>
      </w:r>
      <w:r>
        <w:rPr>
          <w:sz w:val="26"/>
          <w:szCs w:val="26"/>
        </w:rPr>
        <w:t xml:space="preserve"> audiência pública do Chamamento Público nº 01/2019 do Campus São Paulo da Universidade Federal </w:t>
      </w:r>
      <w:r>
        <w:rPr>
          <w:sz w:val="26"/>
          <w:szCs w:val="26"/>
        </w:rPr>
        <w:t xml:space="preserve">de São Paulo </w:t>
      </w:r>
      <w:r>
        <w:rPr>
          <w:sz w:val="26"/>
          <w:szCs w:val="26"/>
        </w:rPr>
        <w:t>– Unifesp, relativo ao Processo de Manifestação de Interesse para novas Infraestruturas</w:t>
      </w:r>
      <w:r>
        <w:rPr>
          <w:sz w:val="26"/>
          <w:szCs w:val="26"/>
        </w:rPr>
        <w:t xml:space="preserve"> do campus</w:t>
      </w:r>
      <w:r>
        <w:rPr>
          <w:sz w:val="26"/>
          <w:szCs w:val="26"/>
        </w:rPr>
        <w:t xml:space="preserve">. A audiência foi presidida pela professora </w:t>
      </w:r>
      <w:proofErr w:type="spellStart"/>
      <w:r>
        <w:rPr>
          <w:sz w:val="26"/>
          <w:szCs w:val="26"/>
        </w:rPr>
        <w:t>Dra</w:t>
      </w:r>
      <w:proofErr w:type="spellEnd"/>
      <w:r>
        <w:rPr>
          <w:sz w:val="26"/>
          <w:szCs w:val="26"/>
        </w:rPr>
        <w:t xml:space="preserve"> Beatriz A. Castilho (Coordenadora do Plano Diretor de Infraestrutura – </w:t>
      </w:r>
      <w:proofErr w:type="spellStart"/>
      <w:r>
        <w:rPr>
          <w:sz w:val="26"/>
          <w:szCs w:val="26"/>
        </w:rPr>
        <w:t>PDInfra</w:t>
      </w:r>
      <w:proofErr w:type="spellEnd"/>
      <w:r>
        <w:rPr>
          <w:sz w:val="26"/>
          <w:szCs w:val="26"/>
        </w:rPr>
        <w:t xml:space="preserve"> e </w:t>
      </w:r>
      <w:proofErr w:type="gramStart"/>
      <w:r>
        <w:rPr>
          <w:sz w:val="26"/>
          <w:szCs w:val="26"/>
        </w:rPr>
        <w:t>Vice Diretora</w:t>
      </w:r>
      <w:proofErr w:type="gramEnd"/>
      <w:r>
        <w:rPr>
          <w:sz w:val="26"/>
          <w:szCs w:val="26"/>
        </w:rPr>
        <w:t xml:space="preserve"> do </w:t>
      </w:r>
      <w:r>
        <w:rPr>
          <w:sz w:val="26"/>
          <w:szCs w:val="26"/>
        </w:rPr>
        <w:t xml:space="preserve">Campus São Paulo), a mesa </w:t>
      </w:r>
      <w:r>
        <w:rPr>
          <w:sz w:val="26"/>
          <w:szCs w:val="26"/>
        </w:rPr>
        <w:t xml:space="preserve">foi </w:t>
      </w:r>
      <w:r>
        <w:rPr>
          <w:sz w:val="26"/>
          <w:szCs w:val="26"/>
        </w:rPr>
        <w:t xml:space="preserve">composta pelos professores </w:t>
      </w:r>
      <w:proofErr w:type="spellStart"/>
      <w:r>
        <w:rPr>
          <w:sz w:val="26"/>
          <w:szCs w:val="26"/>
        </w:rPr>
        <w:t>Dr</w:t>
      </w:r>
      <w:proofErr w:type="spellEnd"/>
      <w:r>
        <w:rPr>
          <w:sz w:val="26"/>
          <w:szCs w:val="26"/>
        </w:rPr>
        <w:t xml:space="preserve"> Pedro F. Arantes (Pró-Reitor de Planejamento) e </w:t>
      </w:r>
      <w:proofErr w:type="spellStart"/>
      <w:r>
        <w:rPr>
          <w:sz w:val="26"/>
          <w:szCs w:val="26"/>
        </w:rPr>
        <w:t>Dra</w:t>
      </w:r>
      <w:proofErr w:type="spellEnd"/>
      <w:r>
        <w:rPr>
          <w:sz w:val="26"/>
          <w:szCs w:val="26"/>
        </w:rPr>
        <w:t xml:space="preserve"> Rosana F. Puccini (Diretora do Campus São Paulo). A audiência teve início às </w:t>
      </w:r>
      <w:r>
        <w:rPr>
          <w:sz w:val="26"/>
          <w:szCs w:val="26"/>
        </w:rPr>
        <w:t>09 horas e 20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minutos.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z w:val="26"/>
          <w:szCs w:val="26"/>
        </w:rPr>
        <w:t xml:space="preserve"> professora </w:t>
      </w:r>
      <w:proofErr w:type="spellStart"/>
      <w:r>
        <w:rPr>
          <w:sz w:val="26"/>
          <w:szCs w:val="26"/>
        </w:rPr>
        <w:t>Dra</w:t>
      </w:r>
      <w:proofErr w:type="spellEnd"/>
      <w:r>
        <w:rPr>
          <w:sz w:val="26"/>
          <w:szCs w:val="26"/>
        </w:rPr>
        <w:t xml:space="preserve"> Beatriz</w:t>
      </w:r>
      <w:r>
        <w:rPr>
          <w:sz w:val="26"/>
          <w:szCs w:val="26"/>
        </w:rPr>
        <w:t xml:space="preserve"> Castilho iniciou a </w:t>
      </w:r>
      <w:r>
        <w:rPr>
          <w:sz w:val="26"/>
          <w:szCs w:val="26"/>
        </w:rPr>
        <w:t xml:space="preserve">audiência informando os objetivos, quais sejam, a </w:t>
      </w:r>
      <w:r>
        <w:rPr>
          <w:sz w:val="26"/>
          <w:szCs w:val="26"/>
        </w:rPr>
        <w:t>apresenta</w:t>
      </w:r>
      <w:r>
        <w:rPr>
          <w:sz w:val="26"/>
          <w:szCs w:val="26"/>
        </w:rPr>
        <w:t xml:space="preserve">ção </w:t>
      </w:r>
      <w:r>
        <w:rPr>
          <w:sz w:val="26"/>
          <w:szCs w:val="26"/>
        </w:rPr>
        <w:t xml:space="preserve">ao público externo </w:t>
      </w:r>
      <w:r>
        <w:rPr>
          <w:sz w:val="26"/>
          <w:szCs w:val="26"/>
        </w:rPr>
        <w:t>d</w:t>
      </w:r>
      <w:r>
        <w:rPr>
          <w:sz w:val="26"/>
          <w:szCs w:val="26"/>
        </w:rPr>
        <w:t>as possibilidades de parcerias que a universidade está oferecendo</w:t>
      </w:r>
      <w:r>
        <w:rPr>
          <w:sz w:val="26"/>
          <w:szCs w:val="26"/>
        </w:rPr>
        <w:t xml:space="preserve"> no âmbito da Plano Diretor Infraestrutura - </w:t>
      </w:r>
      <w:proofErr w:type="spellStart"/>
      <w:r>
        <w:rPr>
          <w:sz w:val="26"/>
          <w:szCs w:val="26"/>
        </w:rPr>
        <w:t>PDInfra</w:t>
      </w:r>
      <w:proofErr w:type="spellEnd"/>
      <w:r>
        <w:rPr>
          <w:sz w:val="26"/>
          <w:szCs w:val="26"/>
        </w:rPr>
        <w:t xml:space="preserve"> do campus São Paulo</w:t>
      </w:r>
      <w:r>
        <w:rPr>
          <w:sz w:val="26"/>
          <w:szCs w:val="26"/>
        </w:rPr>
        <w:t xml:space="preserve">. Os presentes foram </w:t>
      </w:r>
      <w:r>
        <w:rPr>
          <w:sz w:val="26"/>
          <w:szCs w:val="26"/>
        </w:rPr>
        <w:t xml:space="preserve">informados que </w:t>
      </w:r>
      <w:r>
        <w:rPr>
          <w:sz w:val="26"/>
          <w:szCs w:val="26"/>
        </w:rPr>
        <w:t xml:space="preserve">os documentos relativos à Manifestação </w:t>
      </w:r>
      <w:r>
        <w:rPr>
          <w:sz w:val="26"/>
          <w:szCs w:val="26"/>
        </w:rPr>
        <w:t xml:space="preserve">estão no </w:t>
      </w:r>
      <w:r>
        <w:rPr>
          <w:sz w:val="26"/>
          <w:szCs w:val="26"/>
        </w:rPr>
        <w:t xml:space="preserve">site </w:t>
      </w:r>
      <w:hyperlink r:id="rId7" w:history="1">
        <w:r>
          <w:rPr>
            <w:rStyle w:val="Hyperlink"/>
            <w:sz w:val="26"/>
            <w:szCs w:val="26"/>
          </w:rPr>
          <w:t>www.pdinfra.com.br</w:t>
        </w:r>
        <w:r>
          <w:rPr>
            <w:rStyle w:val="Hyperlink"/>
            <w:sz w:val="26"/>
            <w:szCs w:val="26"/>
          </w:rPr>
          <w:t>,</w:t>
        </w:r>
      </w:hyperlink>
      <w:r>
        <w:rPr>
          <w:sz w:val="26"/>
          <w:szCs w:val="26"/>
        </w:rPr>
        <w:t xml:space="preserve"> inclusive a ata da audiência, a ser redigida posteriormente. Na sequencia a professora Dra. Rosana Puccini fez uma apresentação da história </w:t>
      </w:r>
      <w:r>
        <w:rPr>
          <w:sz w:val="26"/>
          <w:szCs w:val="26"/>
        </w:rPr>
        <w:t>do Unifesp, com a criação da Escola Paulista de Medicina, e depois a construção do Hospital São Paulo, hospital universitário, e em seguida a Escola Paulista de Enfermagem. Foram apresentados os números do campus, o que demonstra a pujança da presença da u</w:t>
      </w:r>
      <w:r>
        <w:rPr>
          <w:sz w:val="26"/>
          <w:szCs w:val="26"/>
        </w:rPr>
        <w:t xml:space="preserve">niversidade nas quadras </w:t>
      </w:r>
      <w:r>
        <w:rPr>
          <w:sz w:val="26"/>
          <w:szCs w:val="26"/>
        </w:rPr>
        <w:t xml:space="preserve">em que está </w:t>
      </w:r>
      <w:r>
        <w:rPr>
          <w:sz w:val="26"/>
          <w:szCs w:val="26"/>
        </w:rPr>
        <w:t>inserida, em termo</w:t>
      </w:r>
      <w:r w:rsidR="002C0827">
        <w:rPr>
          <w:sz w:val="26"/>
          <w:szCs w:val="26"/>
        </w:rPr>
        <w:t>s</w:t>
      </w:r>
      <w:r>
        <w:rPr>
          <w:sz w:val="26"/>
          <w:szCs w:val="26"/>
        </w:rPr>
        <w:t xml:space="preserve"> de circulação de pessoas em</w:t>
      </w:r>
      <w:r>
        <w:rPr>
          <w:sz w:val="26"/>
          <w:szCs w:val="26"/>
        </w:rPr>
        <w:t xml:space="preserve"> geral, de estudantes, de pós-graduandos, da vinculação com instituições nacionais e internacionais, o que orgulha toda a comunidade. Destacou a posição privile</w:t>
      </w:r>
      <w:r>
        <w:rPr>
          <w:sz w:val="26"/>
          <w:szCs w:val="26"/>
        </w:rPr>
        <w:t>giada</w:t>
      </w:r>
      <w:r>
        <w:rPr>
          <w:sz w:val="26"/>
          <w:szCs w:val="26"/>
        </w:rPr>
        <w:t xml:space="preserve"> da universidade</w:t>
      </w:r>
      <w:r>
        <w:rPr>
          <w:sz w:val="26"/>
          <w:szCs w:val="26"/>
        </w:rPr>
        <w:t xml:space="preserve"> na avaliação do Ministério da Educação - MEC, e </w:t>
      </w:r>
      <w:r>
        <w:rPr>
          <w:sz w:val="26"/>
          <w:szCs w:val="26"/>
        </w:rPr>
        <w:t>em Ranking</w:t>
      </w:r>
      <w:r>
        <w:rPr>
          <w:sz w:val="26"/>
          <w:szCs w:val="26"/>
        </w:rPr>
        <w:t xml:space="preserve">s nacionais e internacionais. Enumerou algumas iniciativas de sucesso na melhoria das infraestruturas do campus, tais como, a construção do Prédio de Pesquisa II, o início do </w:t>
      </w:r>
      <w:r>
        <w:rPr>
          <w:sz w:val="26"/>
          <w:szCs w:val="26"/>
        </w:rPr>
        <w:t xml:space="preserve">Hospital Universitário II e o </w:t>
      </w:r>
      <w:r>
        <w:rPr>
          <w:sz w:val="26"/>
          <w:szCs w:val="26"/>
        </w:rPr>
        <w:t>Centro Cultural em Saúde</w:t>
      </w:r>
      <w:r>
        <w:rPr>
          <w:sz w:val="26"/>
          <w:szCs w:val="26"/>
        </w:rPr>
        <w:t xml:space="preserve"> (Biblioteca). Encerrada a apresentação da professora </w:t>
      </w:r>
      <w:proofErr w:type="spellStart"/>
      <w:r>
        <w:rPr>
          <w:sz w:val="26"/>
          <w:szCs w:val="26"/>
        </w:rPr>
        <w:t>Dra</w:t>
      </w:r>
      <w:proofErr w:type="spellEnd"/>
      <w:r>
        <w:rPr>
          <w:sz w:val="26"/>
          <w:szCs w:val="26"/>
        </w:rPr>
        <w:t xml:space="preserve"> Rosana Puccini, passou-se à apresentação do professor </w:t>
      </w:r>
      <w:proofErr w:type="spellStart"/>
      <w:r>
        <w:rPr>
          <w:sz w:val="26"/>
          <w:szCs w:val="26"/>
        </w:rPr>
        <w:t>Dr</w:t>
      </w:r>
      <w:proofErr w:type="spellEnd"/>
      <w:r>
        <w:rPr>
          <w:sz w:val="26"/>
          <w:szCs w:val="26"/>
        </w:rPr>
        <w:t xml:space="preserve"> Pedro Arantes. O professor iniciou informando que sua apresentação é mais técnica, com </w:t>
      </w:r>
      <w:r>
        <w:rPr>
          <w:sz w:val="26"/>
          <w:szCs w:val="26"/>
        </w:rPr>
        <w:t>relação às oportunidades presentes no Chamamento. Destacou que essa é a primeira Manifestação de Interesse que a universidade faz para ouvir a iniciativa privada em possibilidades de parcerias para infraestruturas. Pontuou que as oportunidades podem intere</w:t>
      </w:r>
      <w:r>
        <w:rPr>
          <w:sz w:val="26"/>
          <w:szCs w:val="26"/>
        </w:rPr>
        <w:t>ssar a diferentes tipos de agentes, salientando que é importante a aproximação de setores complementares, pois abrem a possibilidade de combinação, eventualmente em consórcio, para propor modelos mais assertivos. Lembrou que esse primeiro momento é de escu</w:t>
      </w:r>
      <w:r>
        <w:rPr>
          <w:sz w:val="26"/>
          <w:szCs w:val="26"/>
        </w:rPr>
        <w:t>ta e de sugestão em que a iniciativa privada pode contribuir. é um momento cooperativo, não concorrencial. Informou que num segundo momento serão realizadas devidas licitações e que quem trouxer sugestões interessantes, boas modelagens, boas avaliações jur</w:t>
      </w:r>
      <w:r>
        <w:rPr>
          <w:sz w:val="26"/>
          <w:szCs w:val="26"/>
        </w:rPr>
        <w:t>ídicas, técnicas e econômicas vai influenciar a universidade na sequência, no processo licitatório. Reforçou que o objetivo da consulta é basicamente ouvir a iniciativa privada, pois a universidade fez sua parte realizando um</w:t>
      </w:r>
      <w:r w:rsidR="002C0827">
        <w:rPr>
          <w:sz w:val="26"/>
          <w:szCs w:val="26"/>
        </w:rPr>
        <w:t>a</w:t>
      </w:r>
      <w:r>
        <w:rPr>
          <w:sz w:val="26"/>
          <w:szCs w:val="26"/>
        </w:rPr>
        <w:t xml:space="preserve"> serie de estudos e os colocand</w:t>
      </w:r>
      <w:r>
        <w:rPr>
          <w:sz w:val="26"/>
          <w:szCs w:val="26"/>
        </w:rPr>
        <w:t>o à disposição dos interessados, e agora quer ouvi</w:t>
      </w:r>
      <w:r>
        <w:rPr>
          <w:sz w:val="26"/>
          <w:szCs w:val="26"/>
        </w:rPr>
        <w:t xml:space="preserve">-los. Lembrou que a universidade se mobilizou </w:t>
      </w:r>
      <w:r>
        <w:rPr>
          <w:sz w:val="26"/>
          <w:szCs w:val="26"/>
        </w:rPr>
        <w:lastRenderedPageBreak/>
        <w:t xml:space="preserve">durante a tramitação do plano diretor da cidade, para mudar o zoneamento das quadras em que o campus está inserido, e nessa ocasião foi criado o primeiro Polo </w:t>
      </w:r>
      <w:r>
        <w:rPr>
          <w:sz w:val="26"/>
          <w:szCs w:val="26"/>
        </w:rPr>
        <w:t>de Centralidade da cidade de São Paulo, com seus diversos incentivos urbanísticos. Informou que a universidade conta com uma área de uso de 142 mil metros quadrados e dispõe de um potencial construtivo de mais 130 mil metros quadrados. A universidade tem i</w:t>
      </w:r>
      <w:r>
        <w:rPr>
          <w:sz w:val="26"/>
          <w:szCs w:val="26"/>
        </w:rPr>
        <w:t>nteresse em parte deste potencial para atender demandas reprimidas do campus, o restante do potencial está sendo colocados à disposição como oportunidades de parcerias público privada</w:t>
      </w:r>
      <w:r w:rsidR="00D82E88">
        <w:rPr>
          <w:sz w:val="26"/>
          <w:szCs w:val="26"/>
        </w:rPr>
        <w:t>s</w:t>
      </w:r>
      <w:r>
        <w:rPr>
          <w:sz w:val="26"/>
          <w:szCs w:val="26"/>
        </w:rPr>
        <w:t>. Foram listados os setores que podem ter interesses nas parcerias, desta</w:t>
      </w:r>
      <w:r>
        <w:rPr>
          <w:sz w:val="26"/>
          <w:szCs w:val="26"/>
        </w:rPr>
        <w:t xml:space="preserve">cando que a intenção da universidade é atrair, como clientes e/ou usuários, o setor de saúde, dada a decretação da região ocupada pelo campus como um Polo Tecnológico de Saúde, com todos os benefícios que a legislação do novo Marco da Ciência e Tecnologia </w:t>
      </w:r>
      <w:r>
        <w:rPr>
          <w:sz w:val="26"/>
          <w:szCs w:val="26"/>
        </w:rPr>
        <w:t>prevê de possibilidade de arranjo com o setor privado, que vai</w:t>
      </w:r>
      <w:r>
        <w:rPr>
          <w:sz w:val="26"/>
          <w:szCs w:val="26"/>
        </w:rPr>
        <w:t xml:space="preserve"> desde a parte de patentes até o compartilhamento de infraestruturas. Foram apresentadas algumas modalidades de parcerias</w:t>
      </w:r>
      <w:r>
        <w:rPr>
          <w:sz w:val="26"/>
          <w:szCs w:val="26"/>
        </w:rPr>
        <w:t xml:space="preserve">, tais como contrato </w:t>
      </w:r>
      <w:proofErr w:type="spellStart"/>
      <w:r>
        <w:rPr>
          <w:i/>
          <w:iCs/>
          <w:sz w:val="26"/>
          <w:szCs w:val="26"/>
        </w:rPr>
        <w:t>Built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to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suit</w:t>
      </w:r>
      <w:proofErr w:type="spellEnd"/>
      <w:r>
        <w:rPr>
          <w:i/>
          <w:iCs/>
          <w:sz w:val="26"/>
          <w:szCs w:val="26"/>
        </w:rPr>
        <w:t>,</w:t>
      </w:r>
      <w:r>
        <w:rPr>
          <w:sz w:val="26"/>
          <w:szCs w:val="26"/>
        </w:rPr>
        <w:t xml:space="preserve"> concessão de direito</w:t>
      </w:r>
      <w:r>
        <w:rPr>
          <w:sz w:val="26"/>
          <w:szCs w:val="26"/>
        </w:rPr>
        <w:t xml:space="preserve"> real de uso, concessão de obra, contrato de gestão, permuta, entre outros</w:t>
      </w:r>
      <w:r>
        <w:rPr>
          <w:sz w:val="26"/>
          <w:szCs w:val="26"/>
        </w:rPr>
        <w:t xml:space="preserve">. Com relação ao chamamento, foi esclarecido que a intenção da universidade não é escolher </w:t>
      </w:r>
      <w:proofErr w:type="gramStart"/>
      <w:r>
        <w:rPr>
          <w:sz w:val="26"/>
          <w:szCs w:val="26"/>
        </w:rPr>
        <w:t>vencedores</w:t>
      </w:r>
      <w:proofErr w:type="gramEnd"/>
      <w:r>
        <w:rPr>
          <w:sz w:val="26"/>
          <w:szCs w:val="26"/>
        </w:rPr>
        <w:t xml:space="preserve"> mas avaliar as melhores propostas, que servir</w:t>
      </w:r>
      <w:r w:rsidR="00D82E88">
        <w:rPr>
          <w:sz w:val="26"/>
          <w:szCs w:val="26"/>
        </w:rPr>
        <w:t>ão</w:t>
      </w:r>
      <w:r>
        <w:rPr>
          <w:sz w:val="26"/>
          <w:szCs w:val="26"/>
        </w:rPr>
        <w:t xml:space="preserve"> de term</w:t>
      </w:r>
      <w:r w:rsidR="00D82E88">
        <w:rPr>
          <w:sz w:val="26"/>
          <w:szCs w:val="26"/>
        </w:rPr>
        <w:t>ô</w:t>
      </w:r>
      <w:r>
        <w:rPr>
          <w:sz w:val="26"/>
          <w:szCs w:val="26"/>
        </w:rPr>
        <w:t xml:space="preserve">metro e de bússola para </w:t>
      </w:r>
      <w:r>
        <w:rPr>
          <w:sz w:val="26"/>
          <w:szCs w:val="26"/>
        </w:rPr>
        <w:t>iniciar os processos licitatórios, que devem ocorrer no início do segundo semestre, para que esses processos sejam assertivos e tenha o êxito esperado. Levantou que a universidade espera, nesse momento, análise</w:t>
      </w:r>
      <w:r w:rsidR="00D82E88">
        <w:rPr>
          <w:sz w:val="26"/>
          <w:szCs w:val="26"/>
        </w:rPr>
        <w:t>s</w:t>
      </w:r>
      <w:r>
        <w:rPr>
          <w:sz w:val="26"/>
          <w:szCs w:val="26"/>
        </w:rPr>
        <w:t xml:space="preserve"> preliminares de viabilidade, sem exigências c</w:t>
      </w:r>
      <w:r>
        <w:rPr>
          <w:sz w:val="26"/>
          <w:szCs w:val="26"/>
        </w:rPr>
        <w:t xml:space="preserve">omplexas, muito mais a própria manifestação de interesse com considerações de viabilidades. </w:t>
      </w:r>
      <w:r>
        <w:rPr>
          <w:sz w:val="26"/>
          <w:szCs w:val="26"/>
        </w:rPr>
        <w:t>Apresentou</w:t>
      </w:r>
      <w:r>
        <w:rPr>
          <w:sz w:val="26"/>
          <w:szCs w:val="26"/>
        </w:rPr>
        <w:t xml:space="preserve"> informações sobre a Unifesp, destacando a posição privilegiada da universidade em vários rankings nacionais e internacionais, inclusive na primeira posição em alguns quesitos como o</w:t>
      </w:r>
      <w:r w:rsidR="00D82E88">
        <w:rPr>
          <w:sz w:val="26"/>
          <w:szCs w:val="26"/>
        </w:rPr>
        <w:t>s</w:t>
      </w:r>
      <w:r>
        <w:rPr>
          <w:sz w:val="26"/>
          <w:szCs w:val="26"/>
        </w:rPr>
        <w:t xml:space="preserve"> que medem o impacto das pesquisas, demonstrando que se trata de um lugar </w:t>
      </w:r>
      <w:r>
        <w:rPr>
          <w:sz w:val="26"/>
          <w:szCs w:val="26"/>
        </w:rPr>
        <w:t>de inovação na saúde. Lembrou que no entorno do campus há vários hospitais, além do Hospital São Paulo, tais como o GRAAC, Hospital do Rim, Instituto do Sono, dentre outros. Mencionou o reconhecimento da área de pesquisa em ciências da vida e da saúde da U</w:t>
      </w:r>
      <w:r>
        <w:rPr>
          <w:sz w:val="26"/>
          <w:szCs w:val="26"/>
        </w:rPr>
        <w:t xml:space="preserve">nifesp, que é a melhor do país, com mais de 300 pesquisadores dedicados </w:t>
      </w:r>
      <w:r w:rsidR="00D82E88">
        <w:rPr>
          <w:sz w:val="26"/>
          <w:szCs w:val="26"/>
        </w:rPr>
        <w:t>à</w:t>
      </w:r>
      <w:r>
        <w:rPr>
          <w:sz w:val="26"/>
          <w:szCs w:val="26"/>
        </w:rPr>
        <w:t xml:space="preserve"> pesquisa básica em saúde. Por fim falou do potencial de desenvolvimento imobiliário da região, estando na região da </w:t>
      </w:r>
      <w:r w:rsidR="00D82E88">
        <w:rPr>
          <w:sz w:val="26"/>
          <w:szCs w:val="26"/>
        </w:rPr>
        <w:t>V</w:t>
      </w:r>
      <w:r>
        <w:rPr>
          <w:sz w:val="26"/>
          <w:szCs w:val="26"/>
        </w:rPr>
        <w:t xml:space="preserve">ila </w:t>
      </w:r>
      <w:r w:rsidR="00D82E88">
        <w:rPr>
          <w:sz w:val="26"/>
          <w:szCs w:val="26"/>
        </w:rPr>
        <w:t>M</w:t>
      </w:r>
      <w:r>
        <w:rPr>
          <w:sz w:val="26"/>
          <w:szCs w:val="26"/>
        </w:rPr>
        <w:t>ariana cercada de bairros que já tiveram desenvolvimento imo</w:t>
      </w:r>
      <w:r>
        <w:rPr>
          <w:sz w:val="26"/>
          <w:szCs w:val="26"/>
        </w:rPr>
        <w:t xml:space="preserve">biliário, como Moema, Itaim, dentre outros. Além disso, acaba de receber uma estação do metrô. Informou que o </w:t>
      </w:r>
      <w:proofErr w:type="spellStart"/>
      <w:r>
        <w:rPr>
          <w:sz w:val="26"/>
          <w:szCs w:val="26"/>
        </w:rPr>
        <w:t>PDInfra</w:t>
      </w:r>
      <w:proofErr w:type="spellEnd"/>
      <w:r>
        <w:rPr>
          <w:sz w:val="26"/>
          <w:szCs w:val="26"/>
        </w:rPr>
        <w:t>, que está em fase de finalização, está produzindo cinco estudos temáticos, sendo que dois estão disponíveis no site para download, os estu</w:t>
      </w:r>
      <w:r>
        <w:rPr>
          <w:sz w:val="26"/>
          <w:szCs w:val="26"/>
        </w:rPr>
        <w:t xml:space="preserve">dos das edificações e o desenho urbanístico de mobilidade e acessibilidade. Informou que </w:t>
      </w:r>
      <w:r w:rsidR="00D82E88">
        <w:rPr>
          <w:sz w:val="26"/>
          <w:szCs w:val="26"/>
        </w:rPr>
        <w:t xml:space="preserve">no </w:t>
      </w:r>
      <w:r>
        <w:rPr>
          <w:sz w:val="26"/>
          <w:szCs w:val="26"/>
        </w:rPr>
        <w:t xml:space="preserve">site estão, para cada oportunidade de parceria, arquivos em </w:t>
      </w:r>
      <w:proofErr w:type="spellStart"/>
      <w:r>
        <w:rPr>
          <w:sz w:val="26"/>
          <w:szCs w:val="26"/>
        </w:rPr>
        <w:t>excel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pdf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dwg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autocad</w:t>
      </w:r>
      <w:proofErr w:type="spellEnd"/>
      <w:r>
        <w:rPr>
          <w:sz w:val="26"/>
          <w:szCs w:val="26"/>
        </w:rPr>
        <w:t>), imagens em 3D, que podem ser utilizados pelos inscritos. Em seguida foram aprese</w:t>
      </w:r>
      <w:r>
        <w:rPr>
          <w:sz w:val="26"/>
          <w:szCs w:val="26"/>
        </w:rPr>
        <w:t>ntadas as oito oportunidades de parceria para as quais o campus da</w:t>
      </w:r>
      <w:r>
        <w:rPr>
          <w:sz w:val="26"/>
          <w:szCs w:val="26"/>
        </w:rPr>
        <w:t xml:space="preserve"> diretrizes</w:t>
      </w:r>
      <w:r w:rsidR="00D82E88">
        <w:rPr>
          <w:sz w:val="26"/>
          <w:szCs w:val="26"/>
        </w:rPr>
        <w:t>:</w:t>
      </w:r>
      <w:r>
        <w:rPr>
          <w:sz w:val="26"/>
          <w:szCs w:val="26"/>
        </w:rPr>
        <w:t xml:space="preserve"> o Edifício de Departamentos com Restaurante Universitário, o Edifício de Moradia Universitária, o Edifício Didático (complexo de ensino e pesquisa), o Edifício de Pesquisa </w:t>
      </w:r>
      <w:r>
        <w:rPr>
          <w:sz w:val="26"/>
          <w:szCs w:val="26"/>
        </w:rPr>
        <w:lastRenderedPageBreak/>
        <w:t>Expe</w:t>
      </w:r>
      <w:r>
        <w:rPr>
          <w:sz w:val="26"/>
          <w:szCs w:val="26"/>
        </w:rPr>
        <w:t>rimental e Pesquisa Clínica (complexo de ensino e pesquisa), o Biotério - Edifício de Produção (complexo de ensino e pesquisa), o Biotério - Reforma do edifício existente CEDEME (complexo de ensino e pesquisa), o Hospital da Criança e Adolescente e o Centr</w:t>
      </w:r>
      <w:r>
        <w:rPr>
          <w:sz w:val="26"/>
          <w:szCs w:val="26"/>
        </w:rPr>
        <w:t>o de Atenção Integral em Oncologia. Por último foram apresentados os imóveis com indicação de uso em aberto. Finalizando a apresentação, o professor Dr. Pedro Arantes informou as datas dos eventos do chamamento, lembrou que a apresentação está disponível n</w:t>
      </w:r>
      <w:r>
        <w:rPr>
          <w:sz w:val="26"/>
          <w:szCs w:val="26"/>
        </w:rPr>
        <w:t xml:space="preserve">o site e que nele há ainda possibilidade de agendar reuniões individuais. Em seguida a audiência foi aberta para perguntas dos presentes. </w:t>
      </w:r>
      <w:r>
        <w:rPr>
          <w:b/>
          <w:bCs/>
          <w:sz w:val="26"/>
          <w:szCs w:val="26"/>
        </w:rPr>
        <w:t xml:space="preserve">Perguntas: </w:t>
      </w:r>
      <w:r>
        <w:rPr>
          <w:sz w:val="26"/>
          <w:szCs w:val="26"/>
        </w:rPr>
        <w:t xml:space="preserve">A senhora Marcia Mattar </w:t>
      </w:r>
      <w:proofErr w:type="spellStart"/>
      <w:r>
        <w:rPr>
          <w:sz w:val="26"/>
          <w:szCs w:val="26"/>
        </w:rPr>
        <w:t>Chiyoda</w:t>
      </w:r>
      <w:proofErr w:type="spellEnd"/>
      <w:r>
        <w:rPr>
          <w:sz w:val="26"/>
          <w:szCs w:val="26"/>
        </w:rPr>
        <w:t xml:space="preserve">, representante da empresa </w:t>
      </w:r>
      <w:proofErr w:type="spellStart"/>
      <w:r>
        <w:rPr>
          <w:sz w:val="26"/>
          <w:szCs w:val="26"/>
        </w:rPr>
        <w:t>Engeform</w:t>
      </w:r>
      <w:proofErr w:type="spellEnd"/>
      <w:r>
        <w:rPr>
          <w:sz w:val="26"/>
          <w:szCs w:val="26"/>
        </w:rPr>
        <w:t>, perguntou se nos estudos a serem aprese</w:t>
      </w:r>
      <w:r>
        <w:rPr>
          <w:sz w:val="26"/>
          <w:szCs w:val="26"/>
        </w:rPr>
        <w:t>ntados em abril podem est</w:t>
      </w:r>
      <w:r w:rsidR="00DB1610">
        <w:rPr>
          <w:sz w:val="26"/>
          <w:szCs w:val="26"/>
        </w:rPr>
        <w:t>ar</w:t>
      </w:r>
      <w:r>
        <w:rPr>
          <w:sz w:val="26"/>
          <w:szCs w:val="26"/>
        </w:rPr>
        <w:t xml:space="preserve"> incluídos a exploração, ou seja, a definição de quais as ocupações </w:t>
      </w:r>
      <w:proofErr w:type="gramStart"/>
      <w:r>
        <w:rPr>
          <w:sz w:val="26"/>
          <w:szCs w:val="26"/>
        </w:rPr>
        <w:t>do imóveis</w:t>
      </w:r>
      <w:proofErr w:type="gramEnd"/>
      <w:r>
        <w:rPr>
          <w:sz w:val="26"/>
          <w:szCs w:val="26"/>
        </w:rPr>
        <w:t>, especialmente nas áreas com indicação em aberto. O professor Dr. Pedro Arantes, respondeu que os participantes devem trazer propostas com a melhor for</w:t>
      </w:r>
      <w:r>
        <w:rPr>
          <w:sz w:val="26"/>
          <w:szCs w:val="26"/>
        </w:rPr>
        <w:t>ma de atrair suas empresas e parceiros. No estudo de viabilidade, no caso de uma construtora, a operação não se fecha apenas com a presença da construtora pois ela deve pensar na sinergia a ser construída com parceiros para que a operação se feche, como po</w:t>
      </w:r>
      <w:r>
        <w:rPr>
          <w:sz w:val="26"/>
          <w:szCs w:val="26"/>
        </w:rPr>
        <w:t xml:space="preserve">r exemplo, o arrendamento de espaço, a permuta de espaço, </w:t>
      </w:r>
      <w:r>
        <w:rPr>
          <w:i/>
          <w:iCs/>
          <w:sz w:val="26"/>
          <w:szCs w:val="26"/>
        </w:rPr>
        <w:t>leasing,</w:t>
      </w:r>
      <w:r>
        <w:rPr>
          <w:sz w:val="26"/>
          <w:szCs w:val="26"/>
        </w:rPr>
        <w:t xml:space="preserve"> área comercial e estacionamento, fazendo até combinação de usuários. Para os edifícios em que a universidade solicitou o uso, a universidade deve est</w:t>
      </w:r>
      <w:r w:rsidR="00DB1610">
        <w:rPr>
          <w:sz w:val="26"/>
          <w:szCs w:val="26"/>
        </w:rPr>
        <w:t>ar</w:t>
      </w:r>
      <w:r>
        <w:rPr>
          <w:sz w:val="26"/>
          <w:szCs w:val="26"/>
        </w:rPr>
        <w:t xml:space="preserve"> dentro deles, e naqueles em que o uso </w:t>
      </w:r>
      <w:r>
        <w:rPr>
          <w:sz w:val="26"/>
          <w:szCs w:val="26"/>
        </w:rPr>
        <w:t xml:space="preserve">é indicado como aberto, a universidade não precisa ser um dos usuários. Para os edifícios em que a universidade indicou como usos prioritários, a forma de cobrança virá das propostas apresentadas, que pode ser, por exemplo, através de aluguel, de </w:t>
      </w:r>
      <w:r>
        <w:rPr>
          <w:i/>
          <w:iCs/>
          <w:sz w:val="26"/>
          <w:szCs w:val="26"/>
        </w:rPr>
        <w:t xml:space="preserve">leasing, </w:t>
      </w:r>
      <w:proofErr w:type="spellStart"/>
      <w:r>
        <w:rPr>
          <w:i/>
          <w:iCs/>
          <w:sz w:val="26"/>
          <w:szCs w:val="26"/>
        </w:rPr>
        <w:t>built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to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suit</w:t>
      </w:r>
      <w:proofErr w:type="spellEnd"/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ou o pagamento </w:t>
      </w:r>
      <w:r w:rsidR="00DB1610">
        <w:rPr>
          <w:sz w:val="26"/>
          <w:szCs w:val="26"/>
        </w:rPr>
        <w:t>se</w:t>
      </w:r>
      <w:r>
        <w:rPr>
          <w:sz w:val="26"/>
          <w:szCs w:val="26"/>
        </w:rPr>
        <w:t>ria</w:t>
      </w:r>
      <w:r>
        <w:rPr>
          <w:sz w:val="26"/>
          <w:szCs w:val="26"/>
        </w:rPr>
        <w:t xml:space="preserve"> através da presença de outros parceiros nos outros andares. A universidade avaliará as propostas, e as que forem mais interessantes, mais factíveis, menos onerosas para a universidade servirão como fundamentação das li</w:t>
      </w:r>
      <w:r>
        <w:rPr>
          <w:sz w:val="26"/>
          <w:szCs w:val="26"/>
        </w:rPr>
        <w:t>citaç</w:t>
      </w:r>
      <w:r w:rsidR="00DB1610">
        <w:rPr>
          <w:sz w:val="26"/>
          <w:szCs w:val="26"/>
        </w:rPr>
        <w:t>ões</w:t>
      </w:r>
      <w:bookmarkStart w:id="0" w:name="_GoBack"/>
      <w:bookmarkEnd w:id="0"/>
      <w:r>
        <w:rPr>
          <w:sz w:val="26"/>
          <w:szCs w:val="26"/>
        </w:rPr>
        <w:t xml:space="preserve"> que virão na sequência. O senhor Jonathas M.P. da Silva, representante da empresa MPS Associados, manifestou-se dizendo que a Unifesp tem uma tradição de parceria, especialmente no campo da saúde, o que demonstra que a instituição sabe dialogar, o </w:t>
      </w:r>
      <w:r>
        <w:rPr>
          <w:sz w:val="26"/>
          <w:szCs w:val="26"/>
        </w:rPr>
        <w:t xml:space="preserve">que é uma coisa que, às vezes, não fica muito claro, parecendo uma universidade isolada, quando na verdade a universidade já faz parceria. O que está se tentando é ampliar isso e viabilizar os edifícios identificados no </w:t>
      </w:r>
      <w:proofErr w:type="spellStart"/>
      <w:r>
        <w:rPr>
          <w:sz w:val="26"/>
          <w:szCs w:val="26"/>
        </w:rPr>
        <w:t>PDInfra</w:t>
      </w:r>
      <w:proofErr w:type="spellEnd"/>
      <w:r>
        <w:rPr>
          <w:sz w:val="26"/>
          <w:szCs w:val="26"/>
        </w:rPr>
        <w:t xml:space="preserve"> como necessários para a qual</w:t>
      </w:r>
      <w:r>
        <w:rPr>
          <w:sz w:val="26"/>
          <w:szCs w:val="26"/>
        </w:rPr>
        <w:t>ificação dos seus espaços. Com todo o potencial construtivo disponível há oportunidade tanto para a universidade quanto para os parceiros privados. Em seguida, o senhor Felipe Augusto Rezende, representante da subprefeitura, colocou a subprefeitura à dispo</w:t>
      </w:r>
      <w:r>
        <w:rPr>
          <w:sz w:val="26"/>
          <w:szCs w:val="26"/>
        </w:rPr>
        <w:t xml:space="preserve">sição para auxiliar a instituição, pois o que está sendo proposto irá auxiliar no processo de desenvolvimento do bairro. Por fim, elogiou a seriedade do trabalho realizado pela universidade. O professor Dr. Pedro Arantes lembrou que estiveram presentes na </w:t>
      </w:r>
      <w:r>
        <w:rPr>
          <w:sz w:val="26"/>
          <w:szCs w:val="26"/>
        </w:rPr>
        <w:t xml:space="preserve">primeira audiência, outros agentes do poder público municipal, que estão ajudando a criar o ambiente favorável ao que a universidade está propondo. Citou o exemplo do estacionamento da Rua </w:t>
      </w:r>
      <w:proofErr w:type="spellStart"/>
      <w:r>
        <w:rPr>
          <w:sz w:val="26"/>
          <w:szCs w:val="26"/>
        </w:rPr>
        <w:t>Varpa</w:t>
      </w:r>
      <w:proofErr w:type="spellEnd"/>
      <w:r>
        <w:rPr>
          <w:sz w:val="26"/>
          <w:szCs w:val="26"/>
        </w:rPr>
        <w:t xml:space="preserve">, que deve ocorrer através de uma parceria público privada da </w:t>
      </w:r>
      <w:r>
        <w:rPr>
          <w:sz w:val="26"/>
          <w:szCs w:val="26"/>
        </w:rPr>
        <w:t xml:space="preserve">prefeitura. Isso demonstra que </w:t>
      </w:r>
      <w:r>
        <w:rPr>
          <w:sz w:val="26"/>
          <w:szCs w:val="26"/>
        </w:rPr>
        <w:lastRenderedPageBreak/>
        <w:t xml:space="preserve">a universidade trabalha em conjunto com a prefeitura. </w:t>
      </w:r>
      <w:r>
        <w:rPr>
          <w:b/>
          <w:bCs/>
          <w:sz w:val="26"/>
          <w:szCs w:val="26"/>
        </w:rPr>
        <w:t>Encerramento</w:t>
      </w:r>
      <w:r>
        <w:rPr>
          <w:sz w:val="26"/>
          <w:szCs w:val="26"/>
        </w:rPr>
        <w:t>: Não havendo nenhum outro questionamento, a professora Dra. Beatriz Castilho encerrou a audiência agradecendo a participação de todos. Eu,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Diorgilys</w:t>
      </w:r>
      <w:proofErr w:type="spellEnd"/>
      <w:r>
        <w:rPr>
          <w:sz w:val="26"/>
          <w:szCs w:val="26"/>
        </w:rPr>
        <w:t xml:space="preserve"> Matos dos</w:t>
      </w:r>
      <w:r>
        <w:rPr>
          <w:sz w:val="26"/>
          <w:szCs w:val="26"/>
        </w:rPr>
        <w:t xml:space="preserve"> Santos, redigi a presente ata</w:t>
      </w:r>
      <w:r>
        <w:rPr>
          <w:sz w:val="26"/>
          <w:szCs w:val="26"/>
        </w:rPr>
        <w:t>.</w:t>
      </w:r>
    </w:p>
    <w:sectPr w:rsidR="00120F32">
      <w:headerReference w:type="default" r:id="rId8"/>
      <w:footerReference w:type="default" r:id="rId9"/>
      <w:pgSz w:w="11906" w:h="16838"/>
      <w:pgMar w:top="1843" w:right="1418" w:bottom="1134" w:left="1418" w:header="56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129" w:rsidRDefault="00AE2129">
      <w:r>
        <w:separator/>
      </w:r>
    </w:p>
  </w:endnote>
  <w:endnote w:type="continuationSeparator" w:id="0">
    <w:p w:rsidR="00AE2129" w:rsidRDefault="00AE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F32" w:rsidRDefault="00AE2129">
    <w:pPr>
      <w:pStyle w:val="Normal1"/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4</w:t>
    </w:r>
    <w:r>
      <w:rPr>
        <w:color w:val="000000"/>
      </w:rPr>
      <w:fldChar w:fldCharType="end"/>
    </w:r>
  </w:p>
  <w:p w:rsidR="00120F32" w:rsidRDefault="00120F32">
    <w:pPr>
      <w:pStyle w:val="Normal1"/>
      <w:jc w:val="center"/>
      <w:rPr>
        <w:color w:val="0033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129" w:rsidRDefault="00AE2129">
      <w:r>
        <w:separator/>
      </w:r>
    </w:p>
  </w:footnote>
  <w:footnote w:type="continuationSeparator" w:id="0">
    <w:p w:rsidR="00AE2129" w:rsidRDefault="00AE2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F32" w:rsidRDefault="00120F32">
    <w:pPr>
      <w:pStyle w:val="Normal1"/>
      <w:widowControl w:val="0"/>
      <w:spacing w:line="276" w:lineRule="auto"/>
      <w:rPr>
        <w:sz w:val="26"/>
        <w:szCs w:val="26"/>
      </w:rPr>
    </w:pPr>
  </w:p>
  <w:tbl>
    <w:tblPr>
      <w:tblW w:w="9440" w:type="dxa"/>
      <w:tblInd w:w="-72" w:type="dxa"/>
      <w:tblLayout w:type="fixed"/>
      <w:tblLook w:val="04A0" w:firstRow="1" w:lastRow="0" w:firstColumn="1" w:lastColumn="0" w:noHBand="0" w:noVBand="1"/>
    </w:tblPr>
    <w:tblGrid>
      <w:gridCol w:w="1620"/>
      <w:gridCol w:w="5398"/>
      <w:gridCol w:w="2422"/>
    </w:tblGrid>
    <w:tr w:rsidR="00120F32">
      <w:trPr>
        <w:trHeight w:val="880"/>
      </w:trPr>
      <w:tc>
        <w:tcPr>
          <w:tcW w:w="1620" w:type="dxa"/>
          <w:vAlign w:val="center"/>
        </w:tcPr>
        <w:p w:rsidR="00120F32" w:rsidRDefault="00AE2129">
          <w:pPr>
            <w:pStyle w:val="Normal1"/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  <w:color w:val="000080"/>
              <w:sz w:val="22"/>
              <w:szCs w:val="22"/>
            </w:rPr>
            <w:drawing>
              <wp:inline distT="0" distB="0" distL="114300" distR="114300">
                <wp:extent cx="885825" cy="828675"/>
                <wp:effectExtent l="0" t="0" r="9525" b="9525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8" w:type="dxa"/>
          <w:vAlign w:val="center"/>
        </w:tcPr>
        <w:p w:rsidR="00120F32" w:rsidRDefault="00AE2129">
          <w:pPr>
            <w:pStyle w:val="Normal1"/>
            <w:tabs>
              <w:tab w:val="left" w:pos="4252"/>
            </w:tabs>
            <w:jc w:val="center"/>
            <w:rPr>
              <w:sz w:val="22"/>
              <w:szCs w:val="22"/>
            </w:rPr>
          </w:pPr>
          <w:r>
            <w:rPr>
              <w:b/>
              <w:sz w:val="22"/>
              <w:szCs w:val="22"/>
            </w:rPr>
            <w:t>Ministério da Educação</w:t>
          </w:r>
        </w:p>
        <w:p w:rsidR="00120F32" w:rsidRDefault="00AE2129">
          <w:pPr>
            <w:pStyle w:val="Normal1"/>
            <w:tabs>
              <w:tab w:val="left" w:pos="4252"/>
            </w:tabs>
            <w:jc w:val="center"/>
            <w:rPr>
              <w:sz w:val="22"/>
              <w:szCs w:val="22"/>
            </w:rPr>
          </w:pPr>
          <w:r>
            <w:rPr>
              <w:b/>
              <w:sz w:val="22"/>
              <w:szCs w:val="22"/>
            </w:rPr>
            <w:t>Universidade Federal de São Paulo</w:t>
          </w:r>
        </w:p>
        <w:p w:rsidR="00120F32" w:rsidRDefault="00AE2129">
          <w:pPr>
            <w:pStyle w:val="Normal1"/>
            <w:tabs>
              <w:tab w:val="left" w:pos="4252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Campus São Paulo</w:t>
          </w:r>
        </w:p>
        <w:p w:rsidR="00120F32" w:rsidRDefault="00AE2129">
          <w:pPr>
            <w:pStyle w:val="Normal1"/>
            <w:tabs>
              <w:tab w:val="left" w:pos="4252"/>
            </w:tabs>
            <w:jc w:val="center"/>
            <w:rPr>
              <w:sz w:val="22"/>
              <w:szCs w:val="22"/>
            </w:rPr>
          </w:pPr>
          <w:r>
            <w:rPr>
              <w:b/>
              <w:sz w:val="22"/>
              <w:szCs w:val="22"/>
            </w:rPr>
            <w:t>Chamamento Público nº 001/2019</w:t>
          </w:r>
        </w:p>
        <w:p w:rsidR="00120F32" w:rsidRDefault="00120F32">
          <w:pPr>
            <w:pStyle w:val="Normal1"/>
            <w:tabs>
              <w:tab w:val="left" w:pos="4252"/>
            </w:tabs>
            <w:jc w:val="center"/>
            <w:rPr>
              <w:sz w:val="28"/>
              <w:szCs w:val="28"/>
            </w:rPr>
          </w:pPr>
        </w:p>
        <w:p w:rsidR="00120F32" w:rsidRDefault="00AE2129">
          <w:pPr>
            <w:pStyle w:val="Normal1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ATA AUDIÊNCIA PÚBLICA</w:t>
          </w:r>
        </w:p>
        <w:p w:rsidR="00120F32" w:rsidRDefault="00AE2129">
          <w:pPr>
            <w:pStyle w:val="Normal1"/>
            <w:jc w:val="center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27 </w:t>
          </w:r>
          <w:r>
            <w:rPr>
              <w:b/>
              <w:sz w:val="24"/>
              <w:szCs w:val="24"/>
            </w:rPr>
            <w:t xml:space="preserve">de fevereiro de 2019 </w:t>
          </w:r>
        </w:p>
        <w:p w:rsidR="00120F32" w:rsidRDefault="00120F32">
          <w:pPr>
            <w:pStyle w:val="Normal1"/>
            <w:tabs>
              <w:tab w:val="left" w:pos="4252"/>
            </w:tabs>
            <w:jc w:val="center"/>
            <w:rPr>
              <w:sz w:val="28"/>
              <w:szCs w:val="28"/>
            </w:rPr>
          </w:pPr>
        </w:p>
      </w:tc>
      <w:tc>
        <w:tcPr>
          <w:tcW w:w="2422" w:type="dxa"/>
          <w:vAlign w:val="center"/>
        </w:tcPr>
        <w:p w:rsidR="00120F32" w:rsidRDefault="00AE2129">
          <w:pPr>
            <w:pStyle w:val="Normal1"/>
            <w:tabs>
              <w:tab w:val="left" w:pos="4252"/>
            </w:tabs>
            <w:jc w:val="right"/>
            <w:rPr>
              <w:sz w:val="28"/>
              <w:szCs w:val="28"/>
            </w:rPr>
          </w:pPr>
          <w:r>
            <w:rPr>
              <w:noProof/>
            </w:rPr>
            <w:drawing>
              <wp:inline distT="0" distB="0" distL="114300" distR="114300">
                <wp:extent cx="1362075" cy="809625"/>
                <wp:effectExtent l="0" t="0" r="9525" b="9525"/>
                <wp:docPr id="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20F32" w:rsidRDefault="00120F32">
    <w:pPr>
      <w:pStyle w:val="Normal1"/>
      <w:pBdr>
        <w:bottom w:val="single" w:sz="12" w:space="1" w:color="000000"/>
      </w:pBdr>
      <w:tabs>
        <w:tab w:val="center" w:pos="4252"/>
        <w:tab w:val="right" w:pos="8504"/>
      </w:tabs>
      <w:rPr>
        <w:color w:val="000000"/>
        <w:sz w:val="6"/>
        <w:szCs w:val="6"/>
      </w:rPr>
    </w:pPr>
  </w:p>
  <w:p w:rsidR="00120F32" w:rsidRDefault="00120F32">
    <w:pPr>
      <w:pStyle w:val="Normal1"/>
      <w:tabs>
        <w:tab w:val="center" w:pos="4252"/>
        <w:tab w:val="right" w:pos="8504"/>
      </w:tabs>
      <w:rPr>
        <w:color w:val="000000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AE3"/>
    <w:rsid w:val="000373E4"/>
    <w:rsid w:val="000C4620"/>
    <w:rsid w:val="00104287"/>
    <w:rsid w:val="00120F32"/>
    <w:rsid w:val="00133101"/>
    <w:rsid w:val="00134EB8"/>
    <w:rsid w:val="00255AF9"/>
    <w:rsid w:val="002767AF"/>
    <w:rsid w:val="00282C5C"/>
    <w:rsid w:val="002930D1"/>
    <w:rsid w:val="002B7523"/>
    <w:rsid w:val="002C0827"/>
    <w:rsid w:val="00310FC4"/>
    <w:rsid w:val="00462E1F"/>
    <w:rsid w:val="00480DC8"/>
    <w:rsid w:val="005415D1"/>
    <w:rsid w:val="00546D98"/>
    <w:rsid w:val="005E0682"/>
    <w:rsid w:val="00622AE0"/>
    <w:rsid w:val="00684162"/>
    <w:rsid w:val="00684D54"/>
    <w:rsid w:val="006A5AE3"/>
    <w:rsid w:val="006D0F32"/>
    <w:rsid w:val="00741AAA"/>
    <w:rsid w:val="00745FB4"/>
    <w:rsid w:val="007C7262"/>
    <w:rsid w:val="008172A2"/>
    <w:rsid w:val="00966C5B"/>
    <w:rsid w:val="0099246F"/>
    <w:rsid w:val="009E29ED"/>
    <w:rsid w:val="00A301ED"/>
    <w:rsid w:val="00AD525C"/>
    <w:rsid w:val="00AE2129"/>
    <w:rsid w:val="00AE4D27"/>
    <w:rsid w:val="00B34F9A"/>
    <w:rsid w:val="00CC7FF5"/>
    <w:rsid w:val="00D218F7"/>
    <w:rsid w:val="00D82E88"/>
    <w:rsid w:val="00DB1610"/>
    <w:rsid w:val="00DC7FA6"/>
    <w:rsid w:val="00E60770"/>
    <w:rsid w:val="00E6353D"/>
    <w:rsid w:val="00E6724D"/>
    <w:rsid w:val="00E93496"/>
    <w:rsid w:val="00F102B2"/>
    <w:rsid w:val="00F2190E"/>
    <w:rsid w:val="00F839F4"/>
    <w:rsid w:val="00FC565E"/>
    <w:rsid w:val="00FD47BA"/>
    <w:rsid w:val="02062B4E"/>
    <w:rsid w:val="099F64F1"/>
    <w:rsid w:val="0A5246CD"/>
    <w:rsid w:val="16A0161F"/>
    <w:rsid w:val="2B6E26C0"/>
    <w:rsid w:val="2EC02D88"/>
    <w:rsid w:val="3C26438E"/>
    <w:rsid w:val="5F3F2E63"/>
    <w:rsid w:val="601B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  <w14:docId w14:val="6E5E2A32"/>
  <w15:docId w15:val="{9959A263-88ED-A14F-973C-178CC4D0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lang w:val="pt-BR" w:eastAsia="pt-BR"/>
    </w:rPr>
  </w:style>
  <w:style w:type="paragraph" w:styleId="Heading1">
    <w:name w:val="heading 1"/>
    <w:basedOn w:val="Normal1"/>
    <w:next w:val="Normal1"/>
    <w:link w:val="Heading1Char"/>
    <w:uiPriority w:val="9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9"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uiPriority w:val="99"/>
    <w:rPr>
      <w:rFonts w:eastAsia="Times New Roman"/>
      <w:lang w:val="pt-BR" w:eastAsia="pt-BR"/>
    </w:rPr>
  </w:style>
  <w:style w:type="paragraph" w:styleId="Title">
    <w:name w:val="Title"/>
    <w:basedOn w:val="Normal1"/>
    <w:next w:val="Normal1"/>
    <w:link w:val="Title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</w:style>
  <w:style w:type="paragraph" w:styleId="Subtitle">
    <w:name w:val="Subtitle"/>
    <w:basedOn w:val="Normal1"/>
    <w:next w:val="Normal1"/>
    <w:link w:val="SubtitleChar"/>
    <w:uiPriority w:val="99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table" w:customStyle="1" w:styleId="Estilo">
    <w:name w:val="Estilo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dinfra.com.br,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Unifesp</dc:creator>
  <cp:lastModifiedBy>Beatriz Castilho</cp:lastModifiedBy>
  <cp:revision>9</cp:revision>
  <dcterms:created xsi:type="dcterms:W3CDTF">2019-02-19T14:35:00Z</dcterms:created>
  <dcterms:modified xsi:type="dcterms:W3CDTF">2021-05-16T23:41:00Z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